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>Minutes of Ceredigion Snooker League Annual Gen</w:t>
      </w:r>
      <w:r w:rsidR="00010FA0">
        <w:rPr>
          <w:b/>
          <w:sz w:val="28"/>
          <w:szCs w:val="28"/>
          <w:u w:val="single"/>
        </w:rPr>
        <w:t>eral Meeting held at Aberaeron H</w:t>
      </w:r>
      <w:r w:rsidRPr="00657E0B">
        <w:rPr>
          <w:b/>
          <w:sz w:val="28"/>
          <w:szCs w:val="28"/>
          <w:u w:val="single"/>
        </w:rPr>
        <w:t xml:space="preserve">all on Thursday </w:t>
      </w:r>
      <w:proofErr w:type="gramStart"/>
      <w:r w:rsidRPr="00657E0B">
        <w:rPr>
          <w:b/>
          <w:sz w:val="28"/>
          <w:szCs w:val="28"/>
          <w:u w:val="single"/>
        </w:rPr>
        <w:t>8’th</w:t>
      </w:r>
      <w:proofErr w:type="gramEnd"/>
      <w:r w:rsidRPr="00657E0B">
        <w:rPr>
          <w:b/>
          <w:sz w:val="28"/>
          <w:szCs w:val="28"/>
          <w:u w:val="single"/>
        </w:rPr>
        <w:t xml:space="preserve"> September 2011.</w:t>
      </w:r>
    </w:p>
    <w:p w:rsidR="00AE4995" w:rsidRDefault="00657E0B" w:rsidP="00943E1B">
      <w:r w:rsidRPr="009102AE">
        <w:rPr>
          <w:b/>
          <w:sz w:val="28"/>
          <w:szCs w:val="28"/>
        </w:rPr>
        <w:t>Present</w:t>
      </w:r>
      <w:r>
        <w:t>: Andrew James(Chairman), Dilwyn Smith(Vice Chairman &amp; Fixture Secretary), Alan Robinson(Treasurer), Adrian Williams(</w:t>
      </w:r>
      <w:proofErr w:type="spellStart"/>
      <w:r>
        <w:t>Aberaeron</w:t>
      </w:r>
      <w:proofErr w:type="spellEnd"/>
      <w:r>
        <w:t>), Jon James(</w:t>
      </w:r>
      <w:proofErr w:type="spellStart"/>
      <w:r>
        <w:t>Aberaeron</w:t>
      </w:r>
      <w:proofErr w:type="spellEnd"/>
      <w:r>
        <w:t xml:space="preserve">), </w:t>
      </w:r>
      <w:proofErr w:type="spellStart"/>
      <w:r>
        <w:t>Leeroy</w:t>
      </w:r>
      <w:proofErr w:type="spellEnd"/>
      <w:r>
        <w:t xml:space="preserve"> Mason(New Quay), Eugene Mason(New Quay), John </w:t>
      </w:r>
      <w:proofErr w:type="spellStart"/>
      <w:r>
        <w:t>Gibbins</w:t>
      </w:r>
      <w:proofErr w:type="spellEnd"/>
      <w:r>
        <w:t>(</w:t>
      </w:r>
      <w:proofErr w:type="spellStart"/>
      <w:r>
        <w:t>Llanarth</w:t>
      </w:r>
      <w:proofErr w:type="spellEnd"/>
      <w:r>
        <w:t xml:space="preserve">), T.J </w:t>
      </w:r>
      <w:proofErr w:type="spellStart"/>
      <w:r>
        <w:t>Gibbins</w:t>
      </w:r>
      <w:proofErr w:type="spellEnd"/>
      <w:r>
        <w:t>(</w:t>
      </w:r>
      <w:proofErr w:type="spellStart"/>
      <w:r>
        <w:t>Llanarth</w:t>
      </w:r>
      <w:proofErr w:type="spellEnd"/>
      <w:r>
        <w:t>), Euros Davies(</w:t>
      </w:r>
      <w:proofErr w:type="spellStart"/>
      <w:r>
        <w:t>Llanarth</w:t>
      </w:r>
      <w:proofErr w:type="spellEnd"/>
      <w:r>
        <w:t xml:space="preserve">), Sid Freemantle(Beulah), </w:t>
      </w:r>
      <w:proofErr w:type="spellStart"/>
      <w:r>
        <w:t>Ieuan</w:t>
      </w:r>
      <w:proofErr w:type="spellEnd"/>
      <w:r>
        <w:t xml:space="preserve"> Evans(</w:t>
      </w:r>
      <w:proofErr w:type="spellStart"/>
      <w:r>
        <w:t>Llanon</w:t>
      </w:r>
      <w:proofErr w:type="spellEnd"/>
      <w:r>
        <w:t>), Steve Griffiths(</w:t>
      </w:r>
      <w:proofErr w:type="spellStart"/>
      <w:r>
        <w:t>Llanon</w:t>
      </w:r>
      <w:proofErr w:type="spellEnd"/>
      <w:r>
        <w:t>), Gwilym Morgan(</w:t>
      </w:r>
      <w:proofErr w:type="spellStart"/>
      <w:r>
        <w:t>Llanon</w:t>
      </w:r>
      <w:proofErr w:type="spellEnd"/>
      <w:r>
        <w:t>),Malcolm Richards(</w:t>
      </w:r>
      <w:proofErr w:type="spellStart"/>
      <w:r>
        <w:t>Penparcau</w:t>
      </w:r>
      <w:proofErr w:type="spellEnd"/>
      <w:r>
        <w:t>), Gareth Davies(</w:t>
      </w:r>
      <w:proofErr w:type="spellStart"/>
      <w:r>
        <w:t>Penparcau</w:t>
      </w:r>
      <w:proofErr w:type="spellEnd"/>
      <w:r>
        <w:t>)</w:t>
      </w:r>
      <w:r>
        <w:br/>
      </w:r>
    </w:p>
    <w:p w:rsidR="00943E1B" w:rsidRDefault="00943E1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Apologies</w:t>
      </w:r>
      <w:r>
        <w:t xml:space="preserve">: Neil &amp; </w:t>
      </w:r>
      <w:proofErr w:type="spellStart"/>
      <w:r>
        <w:t>Gwenan</w:t>
      </w:r>
      <w:proofErr w:type="spellEnd"/>
      <w:r>
        <w:t xml:space="preserve"> Lewis, John Owen, Phil Burrows, Peter </w:t>
      </w:r>
      <w:proofErr w:type="spellStart"/>
      <w:r>
        <w:t>Mcgarrigle</w:t>
      </w:r>
      <w:proofErr w:type="spellEnd"/>
      <w:r>
        <w:t>.</w:t>
      </w:r>
      <w:r w:rsidR="00A919D6">
        <w:br/>
      </w:r>
      <w:r>
        <w:br/>
      </w:r>
    </w:p>
    <w:p w:rsidR="00657E0B" w:rsidRDefault="00943E1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Minutes of last AGM</w:t>
      </w:r>
      <w:r>
        <w:t>: The minutes were confirmed to be correct by Malcolm Richards and seconded by Alan Robinson.</w:t>
      </w:r>
      <w:r w:rsidR="00A919D6">
        <w:br/>
      </w:r>
      <w:r w:rsidR="00C2602E">
        <w:br/>
      </w:r>
    </w:p>
    <w:p w:rsidR="00C2602E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 xml:space="preserve">: </w:t>
      </w:r>
      <w:r w:rsidR="00EC484B">
        <w:t>There were no matters arising.</w:t>
      </w:r>
      <w:r w:rsidR="00A919D6">
        <w:br/>
      </w:r>
      <w:r>
        <w:br/>
      </w:r>
    </w:p>
    <w:p w:rsidR="00E44661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Appointments</w:t>
      </w:r>
      <w:r>
        <w:t xml:space="preserve">: Neil &amp; </w:t>
      </w:r>
      <w:proofErr w:type="spellStart"/>
      <w:r>
        <w:t>Gwenan</w:t>
      </w:r>
      <w:proofErr w:type="spellEnd"/>
      <w:r>
        <w:t xml:space="preserve"> Lewis (Secretary) and Peter </w:t>
      </w:r>
      <w:proofErr w:type="spellStart"/>
      <w:proofErr w:type="gramStart"/>
      <w:r>
        <w:t>Mcgarrigle</w:t>
      </w:r>
      <w:proofErr w:type="spellEnd"/>
      <w:r>
        <w:t>(</w:t>
      </w:r>
      <w:proofErr w:type="gramEnd"/>
      <w:r>
        <w:t xml:space="preserve">President) expressed wishes to stand down. The committee agreed to appoint Adrian Williams of Aberaeron Snooker Club as Secretary and Malcolm Richards of </w:t>
      </w:r>
      <w:proofErr w:type="spellStart"/>
      <w:r>
        <w:t>Penparcau</w:t>
      </w:r>
      <w:proofErr w:type="spellEnd"/>
      <w:r>
        <w:t xml:space="preserve"> Snooker Club as President. All other officials were reappointed into their posts.</w:t>
      </w:r>
      <w:r w:rsidR="00E44661">
        <w:br/>
        <w:t xml:space="preserve">The snooker league offered their thanks for all the hard work done by </w:t>
      </w:r>
      <w:r w:rsidR="00D756DE">
        <w:t xml:space="preserve">all </w:t>
      </w:r>
      <w:r w:rsidR="00E44661">
        <w:t>the outgoing officials.</w:t>
      </w:r>
    </w:p>
    <w:p w:rsidR="00AE4995" w:rsidRDefault="00C2602E" w:rsidP="00E44661">
      <w:pPr>
        <w:pStyle w:val="ListParagraph"/>
      </w:pPr>
      <w:r>
        <w:br/>
      </w:r>
      <w:r w:rsidRPr="00A919D6">
        <w:rPr>
          <w:b/>
          <w:sz w:val="24"/>
          <w:szCs w:val="24"/>
          <w:u w:val="single"/>
        </w:rPr>
        <w:t>Appointed Officials 2011/12</w:t>
      </w:r>
      <w:proofErr w:type="gramStart"/>
      <w:r w:rsidRPr="00A919D6">
        <w:rPr>
          <w:sz w:val="24"/>
          <w:szCs w:val="24"/>
        </w:rPr>
        <w:t>:</w:t>
      </w:r>
      <w:proofErr w:type="gramEnd"/>
      <w:r>
        <w:br/>
        <w:t xml:space="preserve">Chairman: </w:t>
      </w:r>
      <w:r>
        <w:tab/>
      </w:r>
      <w:r>
        <w:tab/>
        <w:t>Andrew James</w:t>
      </w:r>
      <w:r>
        <w:br/>
        <w:t>Vice Chairman:</w:t>
      </w:r>
      <w:r>
        <w:tab/>
      </w:r>
      <w:r>
        <w:tab/>
        <w:t>Dilwyn Smith</w:t>
      </w:r>
      <w:r>
        <w:br/>
        <w:t xml:space="preserve">Secretary: </w:t>
      </w:r>
      <w:r>
        <w:tab/>
      </w:r>
      <w:r>
        <w:tab/>
        <w:t>Adrian Williams</w:t>
      </w:r>
      <w:r>
        <w:br/>
        <w:t xml:space="preserve">Treasurer: </w:t>
      </w:r>
      <w:r>
        <w:tab/>
      </w:r>
      <w:r>
        <w:tab/>
        <w:t>Alan Robinson</w:t>
      </w:r>
      <w:r>
        <w:br/>
        <w:t>Fixture Secretary</w:t>
      </w:r>
      <w:r>
        <w:tab/>
        <w:t>Dilwyn Smith</w:t>
      </w:r>
      <w:r>
        <w:br/>
        <w:t>President</w:t>
      </w:r>
      <w:r>
        <w:tab/>
      </w:r>
      <w:r>
        <w:tab/>
        <w:t>Malcolm Richards</w:t>
      </w:r>
      <w:r w:rsidR="00A919D6">
        <w:br/>
      </w:r>
      <w:r w:rsidR="00AE4995">
        <w:br/>
      </w:r>
    </w:p>
    <w:p w:rsidR="00341996" w:rsidRDefault="00E44661" w:rsidP="00E44661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League Formation</w:t>
      </w:r>
      <w:r>
        <w:t>: Tables as at the end of last year: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"/>
        <w:gridCol w:w="1349"/>
        <w:gridCol w:w="440"/>
        <w:gridCol w:w="551"/>
        <w:gridCol w:w="222"/>
        <w:gridCol w:w="440"/>
        <w:gridCol w:w="1349"/>
        <w:gridCol w:w="440"/>
        <w:gridCol w:w="551"/>
      </w:tblGrid>
      <w:tr w:rsidR="00341996" w:rsidRPr="00341996" w:rsidTr="00D079BC"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D079BC">
              <w:rPr>
                <w:b/>
                <w:sz w:val="28"/>
                <w:szCs w:val="28"/>
              </w:rPr>
              <w:t>Division 1</w:t>
            </w:r>
          </w:p>
        </w:tc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1996" w:rsidRPr="00341996" w:rsidRDefault="00341996" w:rsidP="0034199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41996" w:rsidRPr="00341996" w:rsidRDefault="00341996" w:rsidP="0034199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41996" w:rsidRPr="00D079BC" w:rsidRDefault="00341996" w:rsidP="0034199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079BC">
              <w:rPr>
                <w:b/>
                <w:sz w:val="28"/>
                <w:szCs w:val="28"/>
              </w:rPr>
              <w:t>Division 2</w:t>
            </w:r>
          </w:p>
        </w:tc>
        <w:tc>
          <w:tcPr>
            <w:tcW w:w="0" w:type="auto"/>
          </w:tcPr>
          <w:p w:rsidR="00341996" w:rsidRPr="00341996" w:rsidRDefault="00341996" w:rsidP="0034199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0" w:type="auto"/>
          </w:tcPr>
          <w:p w:rsidR="00341996" w:rsidRPr="00341996" w:rsidRDefault="00341996" w:rsidP="00341996">
            <w:pPr>
              <w:pStyle w:val="ListParagraph"/>
              <w:ind w:left="0"/>
              <w:rPr>
                <w:b/>
              </w:rPr>
            </w:pPr>
          </w:p>
        </w:tc>
      </w:tr>
      <w:tr w:rsidR="00341996" w:rsidTr="00D079BC"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proofErr w:type="spellStart"/>
            <w:r>
              <w:t>Penparcau</w:t>
            </w:r>
            <w:proofErr w:type="spellEnd"/>
            <w:r>
              <w:t xml:space="preserve"> C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107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proofErr w:type="spellStart"/>
            <w:r>
              <w:t>Llanon</w:t>
            </w:r>
            <w:proofErr w:type="spellEnd"/>
            <w:r>
              <w:t xml:space="preserve"> C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120</w:t>
            </w:r>
          </w:p>
        </w:tc>
      </w:tr>
      <w:tr w:rsidR="00341996" w:rsidTr="00D079BC"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proofErr w:type="spellStart"/>
            <w:r>
              <w:t>Felindre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89</w:t>
            </w: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341996" w:rsidRDefault="00341996" w:rsidP="00341996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0" w:type="auto"/>
          </w:tcPr>
          <w:p w:rsidR="00341996" w:rsidRDefault="006026E0" w:rsidP="00341996">
            <w:pPr>
              <w:pStyle w:val="ListParagraph"/>
              <w:ind w:left="0"/>
            </w:pPr>
            <w:r>
              <w:t>New Quay</w:t>
            </w:r>
          </w:p>
        </w:tc>
        <w:tc>
          <w:tcPr>
            <w:tcW w:w="0" w:type="auto"/>
          </w:tcPr>
          <w:p w:rsidR="00341996" w:rsidRDefault="006026E0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341996" w:rsidRDefault="006026E0" w:rsidP="00341996">
            <w:pPr>
              <w:pStyle w:val="ListParagraph"/>
              <w:ind w:left="0"/>
            </w:pPr>
            <w:r>
              <w:t>119</w:t>
            </w:r>
          </w:p>
        </w:tc>
      </w:tr>
      <w:tr w:rsidR="006026E0" w:rsidTr="00D079BC"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Aberaeron B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72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proofErr w:type="spellStart"/>
            <w:r>
              <w:t>Aberporth</w:t>
            </w:r>
            <w:proofErr w:type="spellEnd"/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99</w:t>
            </w:r>
          </w:p>
        </w:tc>
      </w:tr>
      <w:tr w:rsidR="006026E0" w:rsidTr="00D079BC"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Aberaeron A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Beulah B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6026E0" w:rsidRDefault="00DB3622" w:rsidP="00341996">
            <w:pPr>
              <w:pStyle w:val="ListParagraph"/>
              <w:ind w:left="0"/>
            </w:pPr>
            <w:r>
              <w:t>83</w:t>
            </w:r>
          </w:p>
        </w:tc>
      </w:tr>
      <w:tr w:rsidR="006026E0" w:rsidTr="00D079BC"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proofErr w:type="spellStart"/>
            <w:r>
              <w:t>Penparcau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69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proofErr w:type="spellStart"/>
            <w:r>
              <w:t>Llanrth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6026E0" w:rsidRDefault="00DB3622" w:rsidP="00341996">
            <w:pPr>
              <w:pStyle w:val="ListParagraph"/>
              <w:ind w:left="0"/>
            </w:pPr>
            <w:r>
              <w:t>82</w:t>
            </w:r>
          </w:p>
        </w:tc>
      </w:tr>
      <w:tr w:rsidR="006026E0" w:rsidTr="00D079BC"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proofErr w:type="spellStart"/>
            <w:r>
              <w:t>Llanarth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Beulah A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6026E0" w:rsidRDefault="00DB3622" w:rsidP="00341996">
            <w:pPr>
              <w:pStyle w:val="ListParagraph"/>
              <w:ind w:left="0"/>
            </w:pPr>
            <w:r>
              <w:t>73</w:t>
            </w:r>
          </w:p>
        </w:tc>
      </w:tr>
      <w:tr w:rsidR="006026E0" w:rsidTr="00D079BC"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Rhydlewis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proofErr w:type="spellStart"/>
            <w:r>
              <w:t>Llanon</w:t>
            </w:r>
            <w:proofErr w:type="spellEnd"/>
            <w:r>
              <w:t xml:space="preserve"> A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6026E0" w:rsidRDefault="00DB3622" w:rsidP="00341996">
            <w:pPr>
              <w:pStyle w:val="ListParagraph"/>
              <w:ind w:left="0"/>
            </w:pPr>
            <w:r>
              <w:t>62</w:t>
            </w:r>
          </w:p>
        </w:tc>
      </w:tr>
      <w:tr w:rsidR="006026E0" w:rsidTr="00D079BC"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proofErr w:type="spellStart"/>
            <w:r>
              <w:t>Felindre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proofErr w:type="spellStart"/>
            <w:r>
              <w:t>Llanon</w:t>
            </w:r>
            <w:proofErr w:type="spellEnd"/>
            <w:r>
              <w:t xml:space="preserve"> D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6026E0" w:rsidRDefault="00DB3622" w:rsidP="00341996">
            <w:pPr>
              <w:pStyle w:val="ListParagraph"/>
              <w:ind w:left="0"/>
            </w:pPr>
            <w:r>
              <w:t>61</w:t>
            </w:r>
          </w:p>
        </w:tc>
      </w:tr>
      <w:tr w:rsidR="006026E0" w:rsidTr="00D079BC"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proofErr w:type="spellStart"/>
            <w:r>
              <w:t>Llanon</w:t>
            </w:r>
            <w:proofErr w:type="spellEnd"/>
            <w:r>
              <w:t xml:space="preserve"> B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6026E0" w:rsidRDefault="00DB3622" w:rsidP="00341996">
            <w:pPr>
              <w:pStyle w:val="ListParagraph"/>
              <w:ind w:left="0"/>
            </w:pPr>
            <w:r>
              <w:t>59</w:t>
            </w:r>
          </w:p>
        </w:tc>
      </w:tr>
      <w:tr w:rsidR="006026E0" w:rsidTr="00D079BC"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Aberaeron C</w:t>
            </w:r>
          </w:p>
        </w:tc>
        <w:tc>
          <w:tcPr>
            <w:tcW w:w="0" w:type="auto"/>
          </w:tcPr>
          <w:p w:rsidR="006026E0" w:rsidRDefault="006026E0" w:rsidP="00341996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0" w:type="auto"/>
          </w:tcPr>
          <w:p w:rsidR="006026E0" w:rsidRDefault="00DB3622" w:rsidP="00341996">
            <w:pPr>
              <w:pStyle w:val="ListParagraph"/>
              <w:ind w:left="0"/>
            </w:pPr>
            <w:r>
              <w:t>52</w:t>
            </w:r>
          </w:p>
        </w:tc>
      </w:tr>
      <w:tr w:rsidR="00A919D6" w:rsidTr="00D079BC">
        <w:tc>
          <w:tcPr>
            <w:tcW w:w="0" w:type="auto"/>
          </w:tcPr>
          <w:p w:rsidR="00A919D6" w:rsidRDefault="00A919D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A919D6" w:rsidRDefault="00A919D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A919D6" w:rsidRDefault="00A919D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A919D6" w:rsidRDefault="00A919D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A919D6" w:rsidRDefault="00A919D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A919D6" w:rsidRDefault="00A919D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A919D6" w:rsidRDefault="00A919D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A919D6" w:rsidRDefault="00A919D6" w:rsidP="00341996">
            <w:pPr>
              <w:pStyle w:val="ListParagraph"/>
              <w:ind w:left="0"/>
            </w:pPr>
          </w:p>
        </w:tc>
        <w:tc>
          <w:tcPr>
            <w:tcW w:w="0" w:type="auto"/>
          </w:tcPr>
          <w:p w:rsidR="00A919D6" w:rsidRDefault="00A919D6" w:rsidP="00341996">
            <w:pPr>
              <w:pStyle w:val="ListParagraph"/>
              <w:ind w:left="0"/>
            </w:pPr>
          </w:p>
        </w:tc>
      </w:tr>
    </w:tbl>
    <w:p w:rsidR="004204D0" w:rsidRDefault="00DB3622" w:rsidP="00F91065">
      <w:pPr>
        <w:ind w:left="720"/>
      </w:pPr>
      <w:r>
        <w:lastRenderedPageBreak/>
        <w:t>New teams enter</w:t>
      </w:r>
      <w:r w:rsidR="002C599C">
        <w:t>ing the league were Aberystwyth and</w:t>
      </w:r>
      <w:r>
        <w:t xml:space="preserve"> Aberaeron D. Teams withdrawing were </w:t>
      </w:r>
      <w:proofErr w:type="spellStart"/>
      <w:r>
        <w:t>Penparcau</w:t>
      </w:r>
      <w:proofErr w:type="spellEnd"/>
      <w:r>
        <w:t xml:space="preserve"> B and </w:t>
      </w:r>
      <w:proofErr w:type="spellStart"/>
      <w:r>
        <w:t>Llanon</w:t>
      </w:r>
      <w:proofErr w:type="spellEnd"/>
      <w:r>
        <w:t xml:space="preserve"> B.</w:t>
      </w:r>
      <w:r w:rsidR="009F32D3">
        <w:br/>
        <w:t>The committee agreed to enter Aberystwyth straight into Division 1 with Aberaeron D entering in Division 2.</w:t>
      </w:r>
      <w:r w:rsidR="004204D0">
        <w:br/>
        <w:t xml:space="preserve">It was agreed to promote the top 2 teams from </w:t>
      </w:r>
      <w:r w:rsidR="004A4DCC">
        <w:t>D</w:t>
      </w:r>
      <w:r w:rsidR="004204D0">
        <w:t xml:space="preserve">ivision 2 and to relegate the bottom 2 teams from </w:t>
      </w:r>
      <w:r w:rsidR="009B6EA4">
        <w:t>D</w:t>
      </w:r>
      <w:r w:rsidR="004204D0">
        <w:t>ivision 1, leaving 9 teams in both divisions for the coming year.</w:t>
      </w:r>
      <w:r w:rsidR="004204D0">
        <w:br/>
        <w:t xml:space="preserve">Gareth Davies of </w:t>
      </w:r>
      <w:proofErr w:type="spellStart"/>
      <w:r w:rsidR="004204D0">
        <w:t>Penparcau</w:t>
      </w:r>
      <w:proofErr w:type="spellEnd"/>
      <w:r w:rsidR="004204D0">
        <w:t xml:space="preserve"> C requested that their team will be known as </w:t>
      </w:r>
      <w:proofErr w:type="spellStart"/>
      <w:r w:rsidR="004204D0">
        <w:t>Penparcau</w:t>
      </w:r>
      <w:proofErr w:type="spellEnd"/>
      <w:r w:rsidR="004204D0">
        <w:t xml:space="preserve"> B as this team </w:t>
      </w:r>
      <w:r w:rsidR="009F4F13">
        <w:t>have pulled out of league</w:t>
      </w:r>
      <w:r w:rsidR="00F91065">
        <w:t>. The committee agreed to this re</w:t>
      </w:r>
      <w:r w:rsidR="00BE5A43">
        <w:t>q</w:t>
      </w:r>
      <w:r w:rsidR="00F91065">
        <w:t>uest.</w:t>
      </w:r>
      <w:r w:rsidR="00603681">
        <w:br/>
        <w:t xml:space="preserve">It was agreed that </w:t>
      </w:r>
      <w:proofErr w:type="spellStart"/>
      <w:r w:rsidR="00603681">
        <w:t>Aberporth</w:t>
      </w:r>
      <w:proofErr w:type="spellEnd"/>
      <w:r w:rsidR="00603681">
        <w:t xml:space="preserve"> play all their home games on Tuesdays and that Aberaeron C and D, and </w:t>
      </w:r>
      <w:proofErr w:type="spellStart"/>
      <w:r w:rsidR="00603681">
        <w:t>Llanon</w:t>
      </w:r>
      <w:proofErr w:type="spellEnd"/>
      <w:r w:rsidR="00603681">
        <w:t xml:space="preserve"> C and D play all their matches on a Wednesday. Where problems arise with fixture dates then the captains are expected to resolve the issues amongst themselves.</w:t>
      </w:r>
      <w:r w:rsidR="007E55A7">
        <w:br/>
        <w:t xml:space="preserve">It was agreed to start the league on Thursday </w:t>
      </w:r>
      <w:proofErr w:type="gramStart"/>
      <w:r w:rsidR="007E55A7">
        <w:t>6’th</w:t>
      </w:r>
      <w:proofErr w:type="gramEnd"/>
      <w:r w:rsidR="007E55A7">
        <w:t xml:space="preserve"> October 2011.</w:t>
      </w:r>
      <w:r w:rsidR="00A919D6">
        <w:br/>
      </w:r>
    </w:p>
    <w:p w:rsidR="004B09A0" w:rsidRDefault="0073214B" w:rsidP="00DB3622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Treasurers Report</w:t>
      </w:r>
      <w:r>
        <w:t xml:space="preserve">: </w:t>
      </w:r>
      <w:r w:rsidR="000946AC">
        <w:t xml:space="preserve">The treasurer’s report was approved and agreed as correct by the committee. </w:t>
      </w:r>
      <w:r w:rsidR="000946AC">
        <w:br/>
        <w:t xml:space="preserve">All teams are now up to date with payments. </w:t>
      </w:r>
      <w:r w:rsidR="000946AC">
        <w:br/>
        <w:t>It was agreed to keep the Secretaries expenses at the same level as last year.</w:t>
      </w:r>
      <w:r w:rsidR="000946AC">
        <w:br/>
        <w:t>It was agreed to pay £200 to Mr David Gregory for work done on the website as agreed in the last meeting as this work is now completed.</w:t>
      </w:r>
      <w:r w:rsidR="000946AC">
        <w:br/>
        <w:t>Potential sponsorship for the coming season was also discussed with the onus on each club to look for sponsors.</w:t>
      </w:r>
      <w:r w:rsidR="004B09A0">
        <w:br/>
      </w:r>
    </w:p>
    <w:p w:rsidR="00DB3622" w:rsidRDefault="004B09A0" w:rsidP="00DB3622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Fees</w:t>
      </w:r>
      <w:r w:rsidRPr="004B09A0">
        <w:t>:</w:t>
      </w:r>
      <w:r>
        <w:t xml:space="preserve"> It was decided not to change the fees for the 2011/12 season.</w:t>
      </w:r>
      <w:r w:rsidR="000946AC">
        <w:br/>
      </w:r>
      <w:bookmarkStart w:id="0" w:name="_GoBack"/>
      <w:bookmarkEnd w:id="0"/>
    </w:p>
    <w:p w:rsidR="009B6EA4" w:rsidRDefault="0073214B" w:rsidP="002F227C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Any Other Matters</w:t>
      </w:r>
      <w:r>
        <w:t xml:space="preserve">: </w:t>
      </w:r>
      <w:r w:rsidR="00A919D6">
        <w:br/>
      </w:r>
      <w:r w:rsidR="002F227C">
        <w:br/>
      </w:r>
      <w:r w:rsidR="00220A82">
        <w:rPr>
          <w:b/>
        </w:rPr>
        <w:t>a)</w:t>
      </w:r>
      <w:r w:rsidR="00220A82">
        <w:rPr>
          <w:b/>
        </w:rPr>
        <w:tab/>
      </w:r>
      <w:r w:rsidR="002F227C" w:rsidRPr="002F227C">
        <w:rPr>
          <w:b/>
        </w:rPr>
        <w:t>Rules</w:t>
      </w:r>
      <w:r w:rsidR="002F227C">
        <w:t xml:space="preserve">: A new set of rules were discussed and approved by the committee. </w:t>
      </w:r>
      <w:r w:rsidR="00220A82">
        <w:t xml:space="preserve"> These rules were approved by John </w:t>
      </w:r>
      <w:proofErr w:type="spellStart"/>
      <w:r w:rsidR="00220A82">
        <w:t>Gibbins</w:t>
      </w:r>
      <w:proofErr w:type="spellEnd"/>
      <w:r w:rsidR="00220A82">
        <w:t xml:space="preserve"> and seconded by Andrew James. </w:t>
      </w:r>
      <w:r w:rsidR="002F227C">
        <w:t xml:space="preserve">These </w:t>
      </w:r>
      <w:r w:rsidR="00220A82">
        <w:t xml:space="preserve">new rules </w:t>
      </w:r>
      <w:r w:rsidR="002F227C">
        <w:t>were based on the last known written set of rules 1977/78 combined with a researched set of rules from other snooker leagues.</w:t>
      </w:r>
      <w:r w:rsidR="00220A82">
        <w:br/>
      </w:r>
      <w:r w:rsidR="00220A82">
        <w:br/>
      </w:r>
      <w:r w:rsidR="00220A82" w:rsidRPr="00220A82">
        <w:rPr>
          <w:b/>
        </w:rPr>
        <w:t>b)</w:t>
      </w:r>
      <w:r w:rsidR="00220A82" w:rsidRPr="00220A82">
        <w:rPr>
          <w:b/>
        </w:rPr>
        <w:tab/>
      </w:r>
      <w:r w:rsidR="00220A82">
        <w:rPr>
          <w:b/>
        </w:rPr>
        <w:t>Printed pocket size fixture list</w:t>
      </w:r>
      <w:r w:rsidR="00220A82">
        <w:t>:  It was agreed not to go ahead and print these this year.</w:t>
      </w:r>
      <w:r w:rsidR="00220A82">
        <w:br/>
      </w:r>
      <w:r w:rsidR="00220A82">
        <w:br/>
      </w:r>
      <w:r w:rsidR="000A1AA9">
        <w:rPr>
          <w:b/>
        </w:rPr>
        <w:t>c</w:t>
      </w:r>
      <w:r w:rsidR="00220A82" w:rsidRPr="008C1892">
        <w:rPr>
          <w:b/>
        </w:rPr>
        <w:t>)</w:t>
      </w:r>
      <w:r w:rsidR="008C1892">
        <w:tab/>
      </w:r>
      <w:r w:rsidR="008C1892" w:rsidRPr="008C1892">
        <w:rPr>
          <w:b/>
        </w:rPr>
        <w:t>Cups held</w:t>
      </w:r>
      <w:r w:rsidR="008C1892">
        <w:t>: It was agreed for teams in possession of cups to bring them to the January meeting in readiness for the presentation night.</w:t>
      </w:r>
      <w:r w:rsidR="008C1892">
        <w:br/>
      </w:r>
      <w:r w:rsidR="008C1892">
        <w:br/>
      </w:r>
      <w:r w:rsidR="000A1AA9">
        <w:rPr>
          <w:b/>
        </w:rPr>
        <w:t>d</w:t>
      </w:r>
      <w:r w:rsidR="008C1892" w:rsidRPr="008C1892">
        <w:rPr>
          <w:b/>
        </w:rPr>
        <w:t>)</w:t>
      </w:r>
      <w:r w:rsidR="008C1892" w:rsidRPr="008C1892">
        <w:rPr>
          <w:b/>
        </w:rPr>
        <w:tab/>
        <w:t>Missing Trophies</w:t>
      </w:r>
      <w:r w:rsidR="008C1892">
        <w:t>: It was noted that there are still some shields / trophies missing.</w:t>
      </w:r>
      <w:r w:rsidR="008C1892">
        <w:br/>
      </w:r>
      <w:r w:rsidR="008C1892">
        <w:br/>
      </w:r>
      <w:r w:rsidR="000A1AA9">
        <w:rPr>
          <w:b/>
        </w:rPr>
        <w:t>e</w:t>
      </w:r>
      <w:r w:rsidR="008C1892" w:rsidRPr="008C1892">
        <w:rPr>
          <w:b/>
        </w:rPr>
        <w:t>)</w:t>
      </w:r>
      <w:r w:rsidR="008C1892" w:rsidRPr="008C1892">
        <w:rPr>
          <w:b/>
        </w:rPr>
        <w:tab/>
        <w:t>Trophy Supplier</w:t>
      </w:r>
      <w:r w:rsidR="008C1892">
        <w:t xml:space="preserve">: It was agreed by the committee to purchase this year’s trophies from Trophies n Stuff, Aberystwyth. A very good deal has been attained by Gareth Davies with the trophy shop donating a new shield for a </w:t>
      </w:r>
      <w:r w:rsidR="002C599C">
        <w:t>captain’s</w:t>
      </w:r>
      <w:r w:rsidR="008C1892">
        <w:t xml:space="preserve"> cup to be played.</w:t>
      </w:r>
      <w:r w:rsidR="002C599C">
        <w:br/>
      </w:r>
      <w:r w:rsidR="002C599C">
        <w:br/>
      </w:r>
      <w:r w:rsidR="002C599C" w:rsidRPr="002C599C">
        <w:rPr>
          <w:b/>
        </w:rPr>
        <w:t>f)</w:t>
      </w:r>
      <w:r w:rsidR="002C599C">
        <w:tab/>
      </w:r>
      <w:r w:rsidR="002C599C" w:rsidRPr="002C599C">
        <w:rPr>
          <w:b/>
        </w:rPr>
        <w:t>Competition Dates</w:t>
      </w:r>
      <w:r w:rsidR="002C599C">
        <w:t>: It was discussed and agreed not to play any of the competitions if possible on six nations’ weekends.</w:t>
      </w:r>
      <w:r w:rsidR="009B6EA4">
        <w:br/>
      </w:r>
      <w:r w:rsidR="00A919D6">
        <w:br/>
      </w:r>
    </w:p>
    <w:p w:rsidR="00220A82" w:rsidRDefault="009B6EA4" w:rsidP="002F227C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Date of Next AGM Meeting</w:t>
      </w:r>
      <w:r>
        <w:t xml:space="preserve">: It was agreed to hold the next AGM on Thursday </w:t>
      </w:r>
      <w:proofErr w:type="gramStart"/>
      <w:r>
        <w:t>6’th</w:t>
      </w:r>
      <w:proofErr w:type="gramEnd"/>
      <w:r>
        <w:t xml:space="preserve"> Se</w:t>
      </w:r>
      <w:r w:rsidR="0011745D">
        <w:t>ptember 2012 at Aberaeron Hall.</w:t>
      </w:r>
      <w:r w:rsidR="00220A82">
        <w:br/>
      </w:r>
    </w:p>
    <w:sectPr w:rsidR="00220A82" w:rsidSect="009B6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DEE"/>
    <w:multiLevelType w:val="hybridMultilevel"/>
    <w:tmpl w:val="82B852F4"/>
    <w:lvl w:ilvl="0" w:tplc="05BEB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946AC"/>
    <w:rsid w:val="000A1AA9"/>
    <w:rsid w:val="0011745D"/>
    <w:rsid w:val="001877D4"/>
    <w:rsid w:val="00220A82"/>
    <w:rsid w:val="002C599C"/>
    <w:rsid w:val="002F227C"/>
    <w:rsid w:val="00307383"/>
    <w:rsid w:val="00341996"/>
    <w:rsid w:val="003D0934"/>
    <w:rsid w:val="004204D0"/>
    <w:rsid w:val="004847A4"/>
    <w:rsid w:val="004A4DCC"/>
    <w:rsid w:val="004B09A0"/>
    <w:rsid w:val="006026E0"/>
    <w:rsid w:val="00603681"/>
    <w:rsid w:val="00657E0B"/>
    <w:rsid w:val="0073214B"/>
    <w:rsid w:val="007E55A7"/>
    <w:rsid w:val="008C1892"/>
    <w:rsid w:val="009102AE"/>
    <w:rsid w:val="00943E1B"/>
    <w:rsid w:val="00962A28"/>
    <w:rsid w:val="009B6EA4"/>
    <w:rsid w:val="009F32D3"/>
    <w:rsid w:val="009F4F13"/>
    <w:rsid w:val="00A919D6"/>
    <w:rsid w:val="00AE4995"/>
    <w:rsid w:val="00AF5AE7"/>
    <w:rsid w:val="00BE5A43"/>
    <w:rsid w:val="00C2602E"/>
    <w:rsid w:val="00D079BC"/>
    <w:rsid w:val="00D756DE"/>
    <w:rsid w:val="00DB3622"/>
    <w:rsid w:val="00E44661"/>
    <w:rsid w:val="00E95D12"/>
    <w:rsid w:val="00EC484B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A5FB-7856-400B-B082-CE3917F1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A4661D8.dotm</Template>
  <TotalTime>144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30</cp:revision>
  <dcterms:created xsi:type="dcterms:W3CDTF">2011-11-21T19:45:00Z</dcterms:created>
  <dcterms:modified xsi:type="dcterms:W3CDTF">2012-01-04T10:43:00Z</dcterms:modified>
</cp:coreProperties>
</file>